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4748"/>
        <w:gridCol w:w="2387"/>
      </w:tblGrid>
      <w:tr w:rsidR="00497B18" w14:paraId="2522C5DC" w14:textId="77777777" w:rsidTr="00497B18">
        <w:tc>
          <w:tcPr>
            <w:tcW w:w="2077" w:type="dxa"/>
          </w:tcPr>
          <w:p w14:paraId="124BD33C" w14:textId="77777777" w:rsidR="00497B18" w:rsidRDefault="00497B18"/>
          <w:p w14:paraId="01F36D68" w14:textId="77777777" w:rsidR="00497B18" w:rsidRDefault="00497B18" w:rsidP="0038126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C04DB3A" wp14:editId="4B1EFB18">
                  <wp:extent cx="1405241" cy="411480"/>
                  <wp:effectExtent l="0" t="0" r="508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69" cy="427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</w:tcPr>
          <w:p w14:paraId="28A71527" w14:textId="77777777" w:rsidR="00497B18" w:rsidRDefault="00497B18" w:rsidP="00497B1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198EE8" wp14:editId="3010096F">
                  <wp:extent cx="1554480" cy="795834"/>
                  <wp:effectExtent l="0" t="0" r="762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826" cy="80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2CE34034" w14:textId="77777777" w:rsidR="00497B18" w:rsidRDefault="00497B18" w:rsidP="0038126E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5D33ED4" wp14:editId="241E339E">
                  <wp:simplePos x="0" y="0"/>
                  <wp:positionH relativeFrom="margin">
                    <wp:posOffset>6045200</wp:posOffset>
                  </wp:positionH>
                  <wp:positionV relativeFrom="paragraph">
                    <wp:posOffset>675640</wp:posOffset>
                  </wp:positionV>
                  <wp:extent cx="1005840" cy="673100"/>
                  <wp:effectExtent l="0" t="0" r="381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5AEFDC1" wp14:editId="1549A849">
                  <wp:extent cx="101917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DDB7B6" w14:textId="3A6314AB" w:rsidR="00497B18" w:rsidRPr="00497B18" w:rsidRDefault="00497B18" w:rsidP="00497B18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color w:val="0070C0"/>
          <w:sz w:val="44"/>
          <w:szCs w:val="44"/>
          <w:lang w:val="en-US"/>
        </w:rPr>
      </w:pPr>
      <w:r w:rsidRPr="00497B18">
        <w:rPr>
          <w:rFonts w:ascii="Times New Roman" w:hAnsi="Times New Roman" w:cs="Times New Roman"/>
          <w:b/>
          <w:color w:val="0070C0"/>
          <w:sz w:val="44"/>
          <w:szCs w:val="44"/>
          <w:lang w:val="en-US"/>
        </w:rPr>
        <w:t xml:space="preserve">HORIZON 2020 WEEK IN BELARUS </w:t>
      </w:r>
      <w:r w:rsidR="00DF3056">
        <w:rPr>
          <w:rFonts w:ascii="Times New Roman" w:hAnsi="Times New Roman" w:cs="Times New Roman"/>
          <w:b/>
          <w:color w:val="0070C0"/>
          <w:sz w:val="44"/>
          <w:szCs w:val="44"/>
          <w:lang w:val="en-US"/>
        </w:rPr>
        <w:t xml:space="preserve">– </w:t>
      </w:r>
      <w:r w:rsidRPr="00497B18">
        <w:rPr>
          <w:rFonts w:ascii="Times New Roman" w:hAnsi="Times New Roman" w:cs="Times New Roman"/>
          <w:b/>
          <w:color w:val="0070C0"/>
          <w:sz w:val="44"/>
          <w:szCs w:val="44"/>
          <w:lang w:val="en-US"/>
        </w:rPr>
        <w:t>2018</w:t>
      </w:r>
    </w:p>
    <w:p w14:paraId="374DC3A5" w14:textId="11014118" w:rsidR="000111A2" w:rsidRPr="00497B18" w:rsidRDefault="00DF3056" w:rsidP="000111A2">
      <w:pPr>
        <w:spacing w:before="120"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  <w:lang w:val="en-US"/>
        </w:rPr>
      </w:pPr>
      <w:r w:rsidRPr="00215B7E">
        <w:rPr>
          <w:rFonts w:ascii="Times New Roman" w:hAnsi="Times New Roman" w:cs="Times New Roman"/>
          <w:b/>
          <w:color w:val="0070C0"/>
          <w:sz w:val="28"/>
          <w:szCs w:val="28"/>
          <w:lang w:val="en"/>
        </w:rPr>
        <w:t xml:space="preserve">TRAINING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"/>
        </w:rPr>
        <w:t>‘</w:t>
      </w:r>
      <w:r w:rsidRPr="00215B7E">
        <w:rPr>
          <w:rFonts w:ascii="Times New Roman" w:hAnsi="Times New Roman" w:cs="Times New Roman"/>
          <w:b/>
          <w:color w:val="0070C0"/>
          <w:sz w:val="28"/>
          <w:szCs w:val="28"/>
          <w:lang w:val="en"/>
        </w:rPr>
        <w:t>R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"/>
        </w:rPr>
        <w:t xml:space="preserve">ESEARCH AND </w:t>
      </w:r>
      <w:r w:rsidRPr="00215B7E">
        <w:rPr>
          <w:rFonts w:ascii="Times New Roman" w:hAnsi="Times New Roman" w:cs="Times New Roman"/>
          <w:b/>
          <w:color w:val="0070C0"/>
          <w:sz w:val="28"/>
          <w:szCs w:val="28"/>
          <w:lang w:val="en"/>
        </w:rPr>
        <w:t>I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"/>
        </w:rPr>
        <w:t>NNOVATION STAFF EXCHANGE’</w:t>
      </w:r>
      <w:r w:rsidRPr="00215B7E">
        <w:rPr>
          <w:rFonts w:ascii="Times New Roman" w:hAnsi="Times New Roman" w:cs="Times New Roman"/>
          <w:b/>
          <w:color w:val="0070C0"/>
          <w:sz w:val="28"/>
          <w:szCs w:val="28"/>
          <w:lang w:val="en"/>
        </w:rPr>
        <w:t xml:space="preserve"> </w:t>
      </w:r>
    </w:p>
    <w:p w14:paraId="04BA8FF5" w14:textId="77777777" w:rsidR="00497B18" w:rsidRDefault="00497B18" w:rsidP="000111A2">
      <w:pPr>
        <w:spacing w:before="120" w:after="0" w:line="240" w:lineRule="auto"/>
        <w:jc w:val="center"/>
        <w:rPr>
          <w:rFonts w:ascii="Times New Roman" w:eastAsia="Bookman Old Style" w:hAnsi="Times New Roman" w:cs="Times New Roman"/>
          <w:b/>
          <w:color w:val="002060"/>
          <w:sz w:val="24"/>
          <w:szCs w:val="24"/>
          <w:lang w:val="en-US" w:eastAsia="uk-UA"/>
        </w:rPr>
      </w:pPr>
      <w:r>
        <w:rPr>
          <w:rFonts w:ascii="Times New Roman" w:eastAsia="Bookman Old Style" w:hAnsi="Times New Roman" w:cs="Times New Roman"/>
          <w:b/>
          <w:color w:val="002060"/>
          <w:sz w:val="24"/>
          <w:szCs w:val="24"/>
          <w:lang w:val="en-US" w:eastAsia="uk-UA"/>
        </w:rPr>
        <w:t>February 21, 2018</w:t>
      </w:r>
    </w:p>
    <w:p w14:paraId="7B8F351B" w14:textId="70FC7ED2" w:rsidR="0038407B" w:rsidRDefault="0038407B" w:rsidP="0038407B">
      <w:pPr>
        <w:spacing w:before="120" w:after="0" w:line="240" w:lineRule="auto"/>
        <w:jc w:val="center"/>
        <w:rPr>
          <w:rFonts w:ascii="Times New Roman" w:eastAsia="Bookman Old Style" w:hAnsi="Times New Roman" w:cs="Times New Roman"/>
          <w:b/>
          <w:color w:val="002060"/>
          <w:sz w:val="24"/>
          <w:szCs w:val="24"/>
          <w:lang w:val="en-US" w:eastAsia="uk-UA"/>
        </w:rPr>
      </w:pPr>
      <w:r>
        <w:rPr>
          <w:rFonts w:ascii="Times New Roman" w:eastAsia="Bookman Old Style" w:hAnsi="Times New Roman" w:cs="Times New Roman"/>
          <w:b/>
          <w:color w:val="002060"/>
          <w:sz w:val="24"/>
          <w:szCs w:val="24"/>
          <w:lang w:val="en-US" w:eastAsia="uk-UA"/>
        </w:rPr>
        <w:t>‘BELARUS’ Hotel,</w:t>
      </w:r>
      <w:r w:rsidR="003454D0">
        <w:rPr>
          <w:rFonts w:ascii="Times New Roman" w:eastAsia="Bookman Old Style" w:hAnsi="Times New Roman" w:cs="Times New Roman"/>
          <w:b/>
          <w:color w:val="002060"/>
          <w:sz w:val="24"/>
          <w:szCs w:val="24"/>
          <w:lang w:val="en-US" w:eastAsia="uk-UA"/>
        </w:rPr>
        <w:t xml:space="preserve"> </w:t>
      </w:r>
      <w:r w:rsidR="00DF3056">
        <w:rPr>
          <w:rFonts w:ascii="Times New Roman" w:eastAsia="Bookman Old Style" w:hAnsi="Times New Roman" w:cs="Times New Roman"/>
          <w:b/>
          <w:color w:val="002060"/>
          <w:sz w:val="24"/>
          <w:szCs w:val="24"/>
          <w:lang w:val="en-US" w:eastAsia="uk-UA"/>
        </w:rPr>
        <w:t>Small</w:t>
      </w:r>
      <w:r w:rsidR="003454D0">
        <w:rPr>
          <w:rFonts w:ascii="Times New Roman" w:eastAsia="Bookman Old Style" w:hAnsi="Times New Roman" w:cs="Times New Roman"/>
          <w:b/>
          <w:color w:val="002060"/>
          <w:sz w:val="24"/>
          <w:szCs w:val="24"/>
          <w:lang w:val="en-US" w:eastAsia="uk-UA"/>
        </w:rPr>
        <w:t xml:space="preserve"> Conference Room (Ground Floor)</w:t>
      </w:r>
      <w:r w:rsidR="00DF3056">
        <w:rPr>
          <w:rFonts w:ascii="Times New Roman" w:eastAsia="Bookman Old Style" w:hAnsi="Times New Roman" w:cs="Times New Roman"/>
          <w:b/>
          <w:color w:val="002060"/>
          <w:sz w:val="24"/>
          <w:szCs w:val="24"/>
          <w:lang w:val="en-US" w:eastAsia="uk-UA"/>
        </w:rPr>
        <w:t>,</w:t>
      </w:r>
      <w:r w:rsidR="003454D0">
        <w:rPr>
          <w:rFonts w:ascii="Times New Roman" w:eastAsia="Bookman Old Style" w:hAnsi="Times New Roman" w:cs="Times New Roman"/>
          <w:b/>
          <w:color w:val="002060"/>
          <w:sz w:val="24"/>
          <w:szCs w:val="24"/>
          <w:lang w:val="en-US" w:eastAsia="uk-UA"/>
        </w:rPr>
        <w:t xml:space="preserve"> </w:t>
      </w:r>
      <w:r w:rsidRPr="00E2790A">
        <w:rPr>
          <w:rFonts w:ascii="Times New Roman" w:eastAsia="Bookman Old Style" w:hAnsi="Times New Roman" w:cs="Times New Roman"/>
          <w:b/>
          <w:color w:val="002060"/>
          <w:sz w:val="24"/>
          <w:szCs w:val="24"/>
          <w:lang w:val="en-US" w:eastAsia="uk-UA"/>
        </w:rPr>
        <w:t xml:space="preserve">15 </w:t>
      </w:r>
      <w:proofErr w:type="spellStart"/>
      <w:r>
        <w:rPr>
          <w:rFonts w:ascii="Times New Roman" w:eastAsia="Bookman Old Style" w:hAnsi="Times New Roman" w:cs="Times New Roman"/>
          <w:b/>
          <w:color w:val="002060"/>
          <w:sz w:val="24"/>
          <w:szCs w:val="24"/>
          <w:lang w:val="en-US" w:eastAsia="uk-UA"/>
        </w:rPr>
        <w:t>Storozhevskaja</w:t>
      </w:r>
      <w:proofErr w:type="spellEnd"/>
      <w:r>
        <w:rPr>
          <w:rFonts w:ascii="Times New Roman" w:eastAsia="Bookman Old Style" w:hAnsi="Times New Roman" w:cs="Times New Roman"/>
          <w:b/>
          <w:color w:val="002060"/>
          <w:sz w:val="24"/>
          <w:szCs w:val="24"/>
          <w:lang w:val="en-US" w:eastAsia="uk-UA"/>
        </w:rPr>
        <w:t xml:space="preserve"> str., </w:t>
      </w:r>
      <w:r w:rsidRPr="00603C07">
        <w:rPr>
          <w:rFonts w:ascii="Times New Roman" w:eastAsia="Bookman Old Style" w:hAnsi="Times New Roman" w:cs="Times New Roman"/>
          <w:b/>
          <w:color w:val="002060"/>
          <w:sz w:val="24"/>
          <w:szCs w:val="24"/>
          <w:lang w:val="en-US" w:eastAsia="uk-UA"/>
        </w:rPr>
        <w:t>Minsk</w:t>
      </w:r>
    </w:p>
    <w:p w14:paraId="66CA48DC" w14:textId="77777777" w:rsidR="00DF3056" w:rsidRDefault="00DF3056" w:rsidP="0038407B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74A9B4FD" w14:textId="77777777" w:rsidR="0038407B" w:rsidRPr="0038407B" w:rsidRDefault="0038407B" w:rsidP="0038407B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38407B">
        <w:rPr>
          <w:rFonts w:ascii="Times New Roman" w:eastAsia="Times New Roman" w:hAnsi="Times New Roman" w:cs="Times New Roman"/>
          <w:b/>
          <w:lang w:val="en-US"/>
        </w:rPr>
        <w:t>The general idea</w:t>
      </w:r>
      <w:r w:rsidRPr="0038407B">
        <w:rPr>
          <w:rFonts w:ascii="Times New Roman" w:eastAsia="Times New Roman" w:hAnsi="Times New Roman" w:cs="Times New Roman"/>
          <w:lang w:val="en-US"/>
        </w:rPr>
        <w:t xml:space="preserve"> of the training is </w:t>
      </w:r>
    </w:p>
    <w:p w14:paraId="2D9138C2" w14:textId="77777777" w:rsidR="0038407B" w:rsidRPr="0038407B" w:rsidRDefault="0038407B" w:rsidP="0038407B">
      <w:pPr>
        <w:pStyle w:val="a9"/>
        <w:numPr>
          <w:ilvl w:val="0"/>
          <w:numId w:val="15"/>
        </w:numPr>
        <w:spacing w:before="120" w:after="120" w:line="264" w:lineRule="auto"/>
        <w:jc w:val="both"/>
        <w:rPr>
          <w:rFonts w:ascii="Times New Roman" w:hAnsi="Times New Roman" w:cs="Times New Roman"/>
          <w:i/>
          <w:lang w:val="en"/>
        </w:rPr>
      </w:pPr>
      <w:r w:rsidRPr="0038407B">
        <w:rPr>
          <w:rFonts w:ascii="Times New Roman" w:eastAsia="Times New Roman" w:hAnsi="Times New Roman" w:cs="Times New Roman"/>
          <w:lang w:val="en-US"/>
        </w:rPr>
        <w:t>to help the Belarusian applicants in RISE proposals who actively participated in proposal development to improve their applications for re-submission in 2018,</w:t>
      </w:r>
    </w:p>
    <w:p w14:paraId="41BFC307" w14:textId="373B4537" w:rsidR="0038407B" w:rsidRPr="0038407B" w:rsidRDefault="0038407B" w:rsidP="0038407B">
      <w:pPr>
        <w:pStyle w:val="a9"/>
        <w:widowControl w:val="0"/>
        <w:numPr>
          <w:ilvl w:val="0"/>
          <w:numId w:val="15"/>
        </w:numPr>
        <w:spacing w:before="120" w:after="120" w:line="264" w:lineRule="auto"/>
        <w:rPr>
          <w:rFonts w:ascii="Times New Roman" w:eastAsia="Calibri" w:hAnsi="Times New Roman" w:cs="Times New Roman"/>
          <w:b/>
          <w:lang w:val="en-US" w:eastAsia="uk-UA"/>
        </w:rPr>
      </w:pPr>
      <w:r w:rsidRPr="0038407B">
        <w:rPr>
          <w:rFonts w:ascii="Times New Roman" w:eastAsia="Times New Roman" w:hAnsi="Times New Roman" w:cs="Times New Roman"/>
          <w:lang w:val="en"/>
        </w:rPr>
        <w:t xml:space="preserve">to provide them some hints on widening and strengthening collaborations </w:t>
      </w:r>
      <w:r w:rsidRPr="0038407B">
        <w:rPr>
          <w:rFonts w:ascii="Times New Roman" w:eastAsia="Times New Roman" w:hAnsi="Times New Roman" w:cs="Times New Roman"/>
          <w:lang w:val="en-US"/>
        </w:rPr>
        <w:t xml:space="preserve">with EU </w:t>
      </w:r>
      <w:proofErr w:type="spellStart"/>
      <w:r w:rsidRPr="0038407B">
        <w:rPr>
          <w:rFonts w:ascii="Times New Roman" w:eastAsia="Times New Roman" w:hAnsi="Times New Roman" w:cs="Times New Roman"/>
          <w:lang w:val="en-US"/>
        </w:rPr>
        <w:t>organisations</w:t>
      </w:r>
      <w:proofErr w:type="spellEnd"/>
      <w:r w:rsidRPr="0038407B">
        <w:rPr>
          <w:rFonts w:ascii="Times New Roman" w:eastAsia="Times New Roman" w:hAnsi="Times New Roman" w:cs="Times New Roman"/>
          <w:lang w:val="en-US"/>
        </w:rPr>
        <w:t xml:space="preserve"> via other MSCA schemes</w:t>
      </w:r>
    </w:p>
    <w:p w14:paraId="0F0C542D" w14:textId="6B8EE77E" w:rsidR="00215B7E" w:rsidRPr="0038407B" w:rsidRDefault="00215B7E" w:rsidP="0038407B">
      <w:pPr>
        <w:widowControl w:val="0"/>
        <w:spacing w:before="120" w:after="120" w:line="264" w:lineRule="auto"/>
        <w:rPr>
          <w:rFonts w:ascii="Times New Roman" w:eastAsia="Calibri" w:hAnsi="Times New Roman" w:cs="Times New Roman"/>
          <w:b/>
          <w:lang w:val="en-US" w:eastAsia="uk-UA"/>
        </w:rPr>
      </w:pPr>
      <w:r w:rsidRPr="0038407B">
        <w:rPr>
          <w:rFonts w:ascii="Times New Roman" w:eastAsia="Calibri" w:hAnsi="Times New Roman" w:cs="Times New Roman"/>
          <w:b/>
          <w:lang w:val="en-US" w:eastAsia="uk-UA"/>
        </w:rPr>
        <w:t>Focus group:</w:t>
      </w:r>
    </w:p>
    <w:p w14:paraId="5FDCB568" w14:textId="5A65A9C3" w:rsidR="00215B7E" w:rsidRPr="0038407B" w:rsidRDefault="00215B7E" w:rsidP="0038407B">
      <w:pPr>
        <w:pStyle w:val="a9"/>
        <w:widowControl w:val="0"/>
        <w:numPr>
          <w:ilvl w:val="0"/>
          <w:numId w:val="16"/>
        </w:numPr>
        <w:spacing w:before="120" w:after="120" w:line="264" w:lineRule="auto"/>
        <w:rPr>
          <w:rFonts w:ascii="Times New Roman" w:eastAsia="Calibri" w:hAnsi="Times New Roman" w:cs="Times New Roman"/>
          <w:lang w:val="en-US" w:eastAsia="uk-UA"/>
        </w:rPr>
      </w:pPr>
      <w:r w:rsidRPr="0038407B">
        <w:rPr>
          <w:rFonts w:ascii="Times New Roman" w:eastAsia="Calibri" w:hAnsi="Times New Roman" w:cs="Times New Roman"/>
          <w:lang w:val="en-US" w:eastAsia="uk-UA"/>
        </w:rPr>
        <w:t>Belarusian partners in RISE consortia interested in improving and re-submitting their proposals in 2018</w:t>
      </w:r>
    </w:p>
    <w:p w14:paraId="4702878A" w14:textId="5247071B" w:rsidR="00215B7E" w:rsidRPr="0038407B" w:rsidRDefault="00215B7E" w:rsidP="0038407B">
      <w:pPr>
        <w:pStyle w:val="a9"/>
        <w:widowControl w:val="0"/>
        <w:numPr>
          <w:ilvl w:val="0"/>
          <w:numId w:val="16"/>
        </w:numPr>
        <w:spacing w:before="120" w:after="120" w:line="264" w:lineRule="auto"/>
        <w:rPr>
          <w:rFonts w:ascii="Times New Roman" w:eastAsia="Calibri" w:hAnsi="Times New Roman" w:cs="Times New Roman"/>
          <w:lang w:val="en-US" w:eastAsia="uk-UA"/>
        </w:rPr>
      </w:pPr>
      <w:r w:rsidRPr="0038407B">
        <w:rPr>
          <w:rFonts w:ascii="Times New Roman" w:eastAsia="Calibri" w:hAnsi="Times New Roman" w:cs="Times New Roman"/>
          <w:lang w:val="en-US" w:eastAsia="uk-UA"/>
        </w:rPr>
        <w:t>researchers from academic and non-academic sectors going to apply to RISE calls</w:t>
      </w:r>
    </w:p>
    <w:p w14:paraId="153EDD7F" w14:textId="1B1F1841" w:rsidR="00166EC7" w:rsidRPr="0038407B" w:rsidRDefault="00215B7E" w:rsidP="0038407B">
      <w:pPr>
        <w:pStyle w:val="a9"/>
        <w:widowControl w:val="0"/>
        <w:numPr>
          <w:ilvl w:val="0"/>
          <w:numId w:val="16"/>
        </w:numPr>
        <w:spacing w:before="120" w:after="120" w:line="264" w:lineRule="auto"/>
        <w:rPr>
          <w:rFonts w:ascii="Times New Roman" w:eastAsia="Calibri" w:hAnsi="Times New Roman" w:cs="Times New Roman"/>
          <w:lang w:val="en-US" w:eastAsia="uk-UA"/>
        </w:rPr>
      </w:pPr>
      <w:r w:rsidRPr="0038407B">
        <w:rPr>
          <w:rFonts w:ascii="Times New Roman" w:eastAsia="Calibri" w:hAnsi="Times New Roman" w:cs="Times New Roman"/>
          <w:lang w:val="en-US" w:eastAsia="uk-UA"/>
        </w:rPr>
        <w:t>researchers interested to improve their collaborations with EU partners using MSC</w:t>
      </w:r>
      <w:r w:rsidR="00D721D8" w:rsidRPr="0038407B">
        <w:rPr>
          <w:rFonts w:ascii="Times New Roman" w:eastAsia="Calibri" w:hAnsi="Times New Roman" w:cs="Times New Roman"/>
          <w:lang w:val="en-US" w:eastAsia="uk-UA"/>
        </w:rPr>
        <w:t>A</w:t>
      </w:r>
      <w:r w:rsidRPr="0038407B">
        <w:rPr>
          <w:rFonts w:ascii="Times New Roman" w:eastAsia="Calibri" w:hAnsi="Times New Roman" w:cs="Times New Roman"/>
          <w:lang w:val="en-US" w:eastAsia="uk-UA"/>
        </w:rPr>
        <w:t xml:space="preserve"> schemes</w:t>
      </w:r>
    </w:p>
    <w:p w14:paraId="12F227D1" w14:textId="4875CE31" w:rsidR="00166EC7" w:rsidRPr="0038407B" w:rsidRDefault="00166EC7" w:rsidP="0038407B">
      <w:pPr>
        <w:widowControl w:val="0"/>
        <w:spacing w:before="120" w:after="120" w:line="264" w:lineRule="auto"/>
        <w:jc w:val="both"/>
        <w:rPr>
          <w:rFonts w:ascii="Times New Roman" w:eastAsia="Calibri" w:hAnsi="Times New Roman" w:cs="Times New Roman"/>
          <w:lang w:val="en-US" w:eastAsia="uk-UA"/>
        </w:rPr>
      </w:pPr>
      <w:r w:rsidRPr="0038407B">
        <w:rPr>
          <w:rFonts w:ascii="Times New Roman" w:eastAsia="Calibri" w:hAnsi="Times New Roman" w:cs="Times New Roman"/>
          <w:lang w:val="en-US" w:eastAsia="uk-UA"/>
        </w:rPr>
        <w:t xml:space="preserve">The training will start with a general overview of the rules governing RISE partnership building, going through the funded </w:t>
      </w:r>
      <w:proofErr w:type="gramStart"/>
      <w:r w:rsidRPr="0038407B">
        <w:rPr>
          <w:rFonts w:ascii="Times New Roman" w:eastAsia="Calibri" w:hAnsi="Times New Roman" w:cs="Times New Roman"/>
          <w:lang w:val="en-US" w:eastAsia="uk-UA"/>
        </w:rPr>
        <w:t>activities and opportunities</w:t>
      </w:r>
      <w:proofErr w:type="gramEnd"/>
      <w:r w:rsidRPr="0038407B">
        <w:rPr>
          <w:rFonts w:ascii="Times New Roman" w:eastAsia="Calibri" w:hAnsi="Times New Roman" w:cs="Times New Roman"/>
          <w:lang w:val="en-US" w:eastAsia="uk-UA"/>
        </w:rPr>
        <w:t xml:space="preserve"> and tricks as to how better organize the exchange of staff. The budget development will be looked at (how to use the EC allowances) and suggestions for writing winning proposals </w:t>
      </w:r>
      <w:proofErr w:type="gramStart"/>
      <w:r w:rsidRPr="0038407B">
        <w:rPr>
          <w:rFonts w:ascii="Times New Roman" w:eastAsia="Calibri" w:hAnsi="Times New Roman" w:cs="Times New Roman"/>
          <w:lang w:val="en-US" w:eastAsia="uk-UA"/>
        </w:rPr>
        <w:t>will be provided</w:t>
      </w:r>
      <w:proofErr w:type="gramEnd"/>
      <w:r w:rsidRPr="0038407B">
        <w:rPr>
          <w:rFonts w:ascii="Times New Roman" w:eastAsia="Calibri" w:hAnsi="Times New Roman" w:cs="Times New Roman"/>
          <w:lang w:val="en-US" w:eastAsia="uk-UA"/>
        </w:rPr>
        <w:t xml:space="preserve">. In this respect, a clear overview of the contents to </w:t>
      </w:r>
      <w:proofErr w:type="gramStart"/>
      <w:r w:rsidRPr="0038407B">
        <w:rPr>
          <w:rFonts w:ascii="Times New Roman" w:eastAsia="Calibri" w:hAnsi="Times New Roman" w:cs="Times New Roman"/>
          <w:lang w:val="en-US" w:eastAsia="uk-UA"/>
        </w:rPr>
        <w:t>be developed</w:t>
      </w:r>
      <w:proofErr w:type="gramEnd"/>
      <w:r w:rsidRPr="0038407B">
        <w:rPr>
          <w:rFonts w:ascii="Times New Roman" w:eastAsia="Calibri" w:hAnsi="Times New Roman" w:cs="Times New Roman"/>
          <w:lang w:val="en-US" w:eastAsia="uk-UA"/>
        </w:rPr>
        <w:t xml:space="preserve"> for each section of Part B1 (sections 1-3) will be presented, with the introduction </w:t>
      </w:r>
      <w:r w:rsidRPr="0038407B">
        <w:rPr>
          <w:rFonts w:ascii="Times New Roman" w:eastAsia="Calibri" w:hAnsi="Times New Roman" w:cs="Times New Roman"/>
          <w:i/>
          <w:lang w:val="en-US" w:eastAsia="uk-UA"/>
        </w:rPr>
        <w:t>of dos and don’ts</w:t>
      </w:r>
      <w:r w:rsidRPr="0038407B">
        <w:rPr>
          <w:rFonts w:ascii="Times New Roman" w:eastAsia="Calibri" w:hAnsi="Times New Roman" w:cs="Times New Roman"/>
          <w:lang w:val="en-US" w:eastAsia="uk-UA"/>
        </w:rPr>
        <w:t xml:space="preserve">. </w:t>
      </w:r>
    </w:p>
    <w:p w14:paraId="3D896572" w14:textId="77777777" w:rsidR="00E36F7B" w:rsidRPr="0038407B" w:rsidRDefault="00E36F7B" w:rsidP="0038407B">
      <w:pPr>
        <w:widowControl w:val="0"/>
        <w:spacing w:before="120" w:after="120" w:line="264" w:lineRule="auto"/>
        <w:rPr>
          <w:rFonts w:ascii="Times New Roman" w:eastAsia="Calibri" w:hAnsi="Times New Roman" w:cs="Times New Roman"/>
          <w:b/>
          <w:lang w:val="en-US" w:eastAsia="uk-UA"/>
        </w:rPr>
      </w:pPr>
      <w:r w:rsidRPr="0038407B">
        <w:rPr>
          <w:rFonts w:ascii="Times New Roman" w:eastAsia="Calibri" w:hAnsi="Times New Roman" w:cs="Times New Roman"/>
          <w:b/>
          <w:lang w:val="en-US" w:eastAsia="uk-UA"/>
        </w:rPr>
        <w:t>Trainers:</w:t>
      </w:r>
    </w:p>
    <w:p w14:paraId="5B059862" w14:textId="77777777" w:rsidR="00E36F7B" w:rsidRPr="0038407B" w:rsidRDefault="00E36F7B" w:rsidP="0038407B">
      <w:pPr>
        <w:spacing w:before="120" w:after="120" w:line="264" w:lineRule="auto"/>
        <w:jc w:val="both"/>
        <w:rPr>
          <w:rFonts w:ascii="Times New Roman" w:hAnsi="Times New Roman" w:cs="Times New Roman"/>
          <w:snapToGrid w:val="0"/>
          <w:lang w:val="en-GB"/>
        </w:rPr>
      </w:pPr>
      <w:r w:rsidRPr="0038407B">
        <w:rPr>
          <w:rFonts w:ascii="Times New Roman" w:hAnsi="Times New Roman" w:cs="Times New Roman"/>
          <w:lang w:val="en-US"/>
        </w:rPr>
        <w:t xml:space="preserve">Katia INSOGNA, </w:t>
      </w:r>
      <w:r w:rsidRPr="0038407B">
        <w:rPr>
          <w:rFonts w:ascii="Times New Roman" w:hAnsi="Times New Roman" w:cs="Times New Roman"/>
          <w:snapToGrid w:val="0"/>
          <w:lang w:val="en-GB"/>
        </w:rPr>
        <w:t>Head of R&amp;I Training and MSCA/ERC consultancy services, Innovative Technology &amp; Science Ltd., UK</w:t>
      </w:r>
    </w:p>
    <w:p w14:paraId="00B3DCDE" w14:textId="77777777" w:rsidR="00E36F7B" w:rsidRPr="0038407B" w:rsidRDefault="00E36F7B" w:rsidP="0038407B">
      <w:pPr>
        <w:spacing w:before="120" w:after="120" w:line="264" w:lineRule="auto"/>
        <w:ind w:left="33"/>
        <w:jc w:val="both"/>
        <w:rPr>
          <w:rFonts w:ascii="Times New Roman" w:eastAsia="Calibri" w:hAnsi="Times New Roman" w:cs="Times New Roman"/>
          <w:b/>
          <w:lang w:val="en-US" w:eastAsia="uk-UA"/>
        </w:rPr>
      </w:pPr>
      <w:r w:rsidRPr="0038407B">
        <w:rPr>
          <w:rFonts w:ascii="Times New Roman" w:hAnsi="Times New Roman" w:cs="Times New Roman"/>
          <w:lang w:val="en-US"/>
        </w:rPr>
        <w:t xml:space="preserve">Olga MEEROVSKAYA, H2020 National Coordinator, MSCA NCP, </w:t>
      </w:r>
      <w:proofErr w:type="spellStart"/>
      <w:r w:rsidRPr="0038407B">
        <w:rPr>
          <w:rFonts w:ascii="Times New Roman" w:hAnsi="Times New Roman" w:cs="Times New Roman"/>
          <w:lang w:val="en-US"/>
        </w:rPr>
        <w:t>BelISA</w:t>
      </w:r>
      <w:proofErr w:type="spellEnd"/>
    </w:p>
    <w:p w14:paraId="711170F2" w14:textId="4F458DF0" w:rsidR="007A29AD" w:rsidRPr="00DF3056" w:rsidRDefault="003454D0" w:rsidP="0038407B">
      <w:pPr>
        <w:widowControl w:val="0"/>
        <w:spacing w:before="120" w:after="120" w:line="264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val="en-US" w:eastAsia="uk-UA"/>
        </w:rPr>
      </w:pPr>
      <w:r w:rsidRPr="00DF3056">
        <w:rPr>
          <w:rFonts w:ascii="Times New Roman" w:eastAsia="Calibri" w:hAnsi="Times New Roman" w:cs="Times New Roman"/>
          <w:b/>
          <w:color w:val="0070C0"/>
          <w:sz w:val="28"/>
          <w:szCs w:val="28"/>
          <w:lang w:val="en-US" w:eastAsia="uk-UA"/>
        </w:rPr>
        <w:t>DETAILED AGENDA</w:t>
      </w:r>
    </w:p>
    <w:p w14:paraId="02A3B252" w14:textId="76A9D569" w:rsidR="007A29AD" w:rsidRPr="0038407B" w:rsidRDefault="007A29AD" w:rsidP="0038407B">
      <w:pPr>
        <w:widowControl w:val="0"/>
        <w:spacing w:before="120" w:after="120" w:line="264" w:lineRule="auto"/>
        <w:jc w:val="both"/>
        <w:rPr>
          <w:rFonts w:ascii="Times New Roman" w:hAnsi="Times New Roman" w:cs="Times New Roman"/>
          <w:i/>
          <w:lang w:val="en"/>
        </w:rPr>
      </w:pPr>
      <w:proofErr w:type="gramStart"/>
      <w:r w:rsidRPr="0038407B">
        <w:rPr>
          <w:rFonts w:ascii="Times New Roman" w:hAnsi="Times New Roman" w:cs="Times New Roman"/>
          <w:lang w:val="en"/>
        </w:rPr>
        <w:t>14.00</w:t>
      </w:r>
      <w:proofErr w:type="gramEnd"/>
      <w:r w:rsidRPr="0038407B">
        <w:rPr>
          <w:rFonts w:ascii="Times New Roman" w:hAnsi="Times New Roman" w:cs="Times New Roman"/>
          <w:lang w:val="en"/>
        </w:rPr>
        <w:t xml:space="preserve"> – 14.</w:t>
      </w:r>
      <w:r w:rsidR="003B2A6B" w:rsidRPr="0038407B">
        <w:rPr>
          <w:rFonts w:ascii="Times New Roman" w:hAnsi="Times New Roman" w:cs="Times New Roman"/>
          <w:lang w:val="en"/>
        </w:rPr>
        <w:t>4</w:t>
      </w:r>
      <w:r w:rsidRPr="0038407B">
        <w:rPr>
          <w:rFonts w:ascii="Times New Roman" w:hAnsi="Times New Roman" w:cs="Times New Roman"/>
          <w:lang w:val="en"/>
        </w:rPr>
        <w:t xml:space="preserve">0 </w:t>
      </w:r>
      <w:r w:rsidR="00000B57" w:rsidRPr="0038407B">
        <w:rPr>
          <w:rFonts w:ascii="Times New Roman" w:hAnsi="Times New Roman" w:cs="Times New Roman"/>
          <w:lang w:val="en"/>
        </w:rPr>
        <w:tab/>
      </w:r>
      <w:r w:rsidR="00000B57" w:rsidRPr="0038407B">
        <w:rPr>
          <w:rFonts w:ascii="Times New Roman" w:hAnsi="Times New Roman" w:cs="Times New Roman"/>
          <w:lang w:val="en"/>
        </w:rPr>
        <w:tab/>
      </w:r>
      <w:r w:rsidR="00000B57" w:rsidRPr="0038407B">
        <w:rPr>
          <w:rFonts w:ascii="Times New Roman" w:hAnsi="Times New Roman" w:cs="Times New Roman"/>
          <w:i/>
          <w:lang w:val="en"/>
        </w:rPr>
        <w:t>Introduction to the seminar and round table</w:t>
      </w:r>
    </w:p>
    <w:p w14:paraId="555D87CB" w14:textId="49EB530E" w:rsidR="00000B57" w:rsidRPr="0038407B" w:rsidRDefault="00000B57" w:rsidP="0038407B">
      <w:pPr>
        <w:widowControl w:val="0"/>
        <w:spacing w:before="120" w:after="120" w:line="264" w:lineRule="auto"/>
        <w:ind w:left="2124" w:firstLine="6"/>
        <w:jc w:val="both"/>
        <w:rPr>
          <w:rFonts w:ascii="Times New Roman" w:eastAsia="Calibri" w:hAnsi="Times New Roman" w:cs="Times New Roman"/>
          <w:lang w:val="en-US" w:eastAsia="uk-UA"/>
        </w:rPr>
      </w:pPr>
      <w:r w:rsidRPr="0038407B">
        <w:rPr>
          <w:rFonts w:ascii="Times New Roman" w:eastAsia="Calibri" w:hAnsi="Times New Roman" w:cs="Times New Roman"/>
          <w:lang w:val="en-US" w:eastAsia="uk-UA"/>
        </w:rPr>
        <w:t xml:space="preserve">RISE: general rules for participation, eligibility criteria and partnership building. </w:t>
      </w:r>
      <w:r w:rsidR="003B2A6B" w:rsidRPr="0038407B">
        <w:rPr>
          <w:rFonts w:ascii="Times New Roman" w:eastAsia="Calibri" w:hAnsi="Times New Roman" w:cs="Times New Roman"/>
          <w:lang w:val="en-US" w:eastAsia="uk-UA"/>
        </w:rPr>
        <w:t>Funded activities and b</w:t>
      </w:r>
      <w:r w:rsidRPr="0038407B">
        <w:rPr>
          <w:rFonts w:ascii="Times New Roman" w:eastAsia="Calibri" w:hAnsi="Times New Roman" w:cs="Times New Roman"/>
          <w:lang w:val="en-US" w:eastAsia="uk-UA"/>
        </w:rPr>
        <w:t>udget development</w:t>
      </w:r>
      <w:r w:rsidR="003B2A6B" w:rsidRPr="0038407B">
        <w:rPr>
          <w:rFonts w:ascii="Times New Roman" w:eastAsia="Calibri" w:hAnsi="Times New Roman" w:cs="Times New Roman"/>
          <w:lang w:val="en-US" w:eastAsia="uk-UA"/>
        </w:rPr>
        <w:t xml:space="preserve">. How to better organize the </w:t>
      </w:r>
      <w:r w:rsidRPr="0038407B">
        <w:rPr>
          <w:rFonts w:ascii="Times New Roman" w:eastAsia="Calibri" w:hAnsi="Times New Roman" w:cs="Times New Roman"/>
          <w:lang w:val="en-US" w:eastAsia="uk-UA"/>
        </w:rPr>
        <w:t>exchanges of staff (why, who and for how long)</w:t>
      </w:r>
    </w:p>
    <w:p w14:paraId="5B484BB6" w14:textId="4939C930" w:rsidR="00000B57" w:rsidRPr="00DF3056" w:rsidRDefault="00000B57" w:rsidP="0038407B">
      <w:pPr>
        <w:widowControl w:val="0"/>
        <w:spacing w:before="120" w:after="120" w:line="264" w:lineRule="auto"/>
        <w:jc w:val="both"/>
        <w:rPr>
          <w:rFonts w:ascii="Times New Roman" w:eastAsia="Calibri" w:hAnsi="Times New Roman" w:cs="Times New Roman"/>
          <w:lang w:val="en-US" w:eastAsia="uk-UA"/>
        </w:rPr>
      </w:pPr>
      <w:r w:rsidRPr="0038407B">
        <w:rPr>
          <w:rFonts w:ascii="Times New Roman" w:eastAsia="Calibri" w:hAnsi="Times New Roman" w:cs="Times New Roman"/>
          <w:lang w:val="en-US" w:eastAsia="uk-UA"/>
        </w:rPr>
        <w:tab/>
      </w:r>
      <w:r w:rsidRPr="0038407B">
        <w:rPr>
          <w:rFonts w:ascii="Times New Roman" w:eastAsia="Calibri" w:hAnsi="Times New Roman" w:cs="Times New Roman"/>
          <w:lang w:val="en-US" w:eastAsia="uk-UA"/>
        </w:rPr>
        <w:tab/>
      </w:r>
      <w:r w:rsidRPr="0038407B">
        <w:rPr>
          <w:rFonts w:ascii="Times New Roman" w:eastAsia="Calibri" w:hAnsi="Times New Roman" w:cs="Times New Roman"/>
          <w:lang w:val="en-US" w:eastAsia="uk-UA"/>
        </w:rPr>
        <w:tab/>
      </w:r>
      <w:r w:rsidRPr="00DF3056">
        <w:rPr>
          <w:rFonts w:ascii="Times New Roman" w:eastAsia="Calibri" w:hAnsi="Times New Roman" w:cs="Times New Roman"/>
          <w:lang w:val="en-US" w:eastAsia="uk-UA"/>
        </w:rPr>
        <w:t xml:space="preserve">Katia </w:t>
      </w:r>
      <w:r w:rsidR="0038407B" w:rsidRPr="00DF3056">
        <w:rPr>
          <w:rFonts w:ascii="Times New Roman" w:eastAsia="Calibri" w:hAnsi="Times New Roman" w:cs="Times New Roman"/>
          <w:lang w:val="en-US" w:eastAsia="uk-UA"/>
        </w:rPr>
        <w:t>INSOGNA</w:t>
      </w:r>
    </w:p>
    <w:p w14:paraId="62A9C0ED" w14:textId="6ABCABBD" w:rsidR="00000B57" w:rsidRPr="0038407B" w:rsidRDefault="00000B57" w:rsidP="0038407B">
      <w:pPr>
        <w:widowControl w:val="0"/>
        <w:spacing w:before="120" w:after="120" w:line="264" w:lineRule="auto"/>
        <w:ind w:left="2124" w:hanging="2124"/>
        <w:jc w:val="both"/>
        <w:rPr>
          <w:rFonts w:ascii="Times New Roman" w:eastAsia="Times New Roman" w:hAnsi="Times New Roman" w:cs="Times New Roman"/>
          <w:lang w:val="en-US"/>
        </w:rPr>
      </w:pPr>
      <w:r w:rsidRPr="0038407B">
        <w:rPr>
          <w:rFonts w:ascii="Times New Roman" w:eastAsia="Calibri" w:hAnsi="Times New Roman" w:cs="Times New Roman"/>
          <w:lang w:val="en-US" w:eastAsia="uk-UA"/>
        </w:rPr>
        <w:t>14.40</w:t>
      </w:r>
      <w:r w:rsidR="00C61C7F">
        <w:rPr>
          <w:rFonts w:ascii="Times New Roman" w:eastAsia="Calibri" w:hAnsi="Times New Roman" w:cs="Times New Roman"/>
          <w:lang w:val="en-US" w:eastAsia="uk-UA"/>
        </w:rPr>
        <w:t xml:space="preserve"> – </w:t>
      </w:r>
      <w:r w:rsidRPr="0038407B">
        <w:rPr>
          <w:rFonts w:ascii="Times New Roman" w:eastAsia="Calibri" w:hAnsi="Times New Roman" w:cs="Times New Roman"/>
          <w:lang w:val="en-US" w:eastAsia="uk-UA"/>
        </w:rPr>
        <w:t>15.</w:t>
      </w:r>
      <w:r w:rsidR="00E36F7B" w:rsidRPr="0038407B">
        <w:rPr>
          <w:rFonts w:ascii="Times New Roman" w:eastAsia="Calibri" w:hAnsi="Times New Roman" w:cs="Times New Roman"/>
          <w:lang w:val="en-US" w:eastAsia="uk-UA"/>
        </w:rPr>
        <w:t>00</w:t>
      </w:r>
      <w:r w:rsidRPr="0038407B">
        <w:rPr>
          <w:rFonts w:ascii="Times New Roman" w:eastAsia="Calibri" w:hAnsi="Times New Roman" w:cs="Times New Roman"/>
          <w:lang w:val="en-US" w:eastAsia="uk-UA"/>
        </w:rPr>
        <w:tab/>
        <w:t xml:space="preserve">RISE in </w:t>
      </w:r>
      <w:r w:rsidRPr="0038407B">
        <w:rPr>
          <w:rFonts w:ascii="Times New Roman" w:eastAsia="Times New Roman" w:hAnsi="Times New Roman" w:cs="Times New Roman"/>
          <w:lang w:val="en-US"/>
        </w:rPr>
        <w:t>Belarus: some data on participation, with a brief analysis on existing obstacles</w:t>
      </w:r>
      <w:r w:rsidR="003B2A6B" w:rsidRPr="0038407B">
        <w:rPr>
          <w:rFonts w:ascii="Times New Roman" w:eastAsia="Times New Roman" w:hAnsi="Times New Roman" w:cs="Times New Roman"/>
          <w:lang w:val="en-US"/>
        </w:rPr>
        <w:t xml:space="preserve"> in participation. </w:t>
      </w:r>
      <w:r w:rsidR="00E36F7B" w:rsidRPr="0038407B">
        <w:rPr>
          <w:rFonts w:ascii="Times New Roman" w:eastAsia="Times New Roman" w:hAnsi="Times New Roman" w:cs="Times New Roman"/>
          <w:lang w:val="en-US"/>
        </w:rPr>
        <w:t>Info on existing platforms and networks to help identify best partners for RISE.</w:t>
      </w:r>
    </w:p>
    <w:p w14:paraId="1991F66C" w14:textId="6E1A06E2" w:rsidR="00000B57" w:rsidRPr="00DF3056" w:rsidRDefault="00000B57" w:rsidP="0038407B">
      <w:pPr>
        <w:widowControl w:val="0"/>
        <w:spacing w:before="120" w:after="120" w:line="264" w:lineRule="auto"/>
        <w:ind w:left="2124" w:hanging="2124"/>
        <w:jc w:val="both"/>
        <w:rPr>
          <w:rFonts w:ascii="Times New Roman" w:hAnsi="Times New Roman" w:cs="Times New Roman"/>
          <w:lang w:val="en-US"/>
        </w:rPr>
      </w:pPr>
      <w:r w:rsidRPr="0038407B">
        <w:rPr>
          <w:rFonts w:ascii="Times New Roman" w:eastAsia="Calibri" w:hAnsi="Times New Roman" w:cs="Times New Roman"/>
          <w:lang w:val="en-US" w:eastAsia="uk-UA"/>
        </w:rPr>
        <w:tab/>
      </w:r>
      <w:r w:rsidRPr="00DF3056">
        <w:rPr>
          <w:rFonts w:ascii="Times New Roman" w:hAnsi="Times New Roman" w:cs="Times New Roman"/>
          <w:lang w:val="en-US"/>
        </w:rPr>
        <w:t>Olga MEEROVSKAYA</w:t>
      </w:r>
    </w:p>
    <w:p w14:paraId="2B554C46" w14:textId="26BE7616" w:rsidR="0000063F" w:rsidRDefault="008C6761" w:rsidP="0038407B">
      <w:pPr>
        <w:widowControl w:val="0"/>
        <w:spacing w:before="120" w:after="120" w:line="264" w:lineRule="auto"/>
        <w:ind w:left="2124" w:hanging="2124"/>
        <w:jc w:val="both"/>
        <w:rPr>
          <w:rFonts w:ascii="Times New Roman" w:eastAsia="Calibri" w:hAnsi="Times New Roman" w:cs="Times New Roman"/>
          <w:i/>
          <w:color w:val="C00000"/>
          <w:lang w:val="en-US" w:eastAsia="uk-UA"/>
        </w:rPr>
      </w:pPr>
      <w:proofErr w:type="gramStart"/>
      <w:r w:rsidRPr="0038407B">
        <w:rPr>
          <w:rFonts w:ascii="Times New Roman" w:eastAsia="Calibri" w:hAnsi="Times New Roman" w:cs="Times New Roman"/>
          <w:lang w:val="en-US" w:eastAsia="uk-UA"/>
        </w:rPr>
        <w:lastRenderedPageBreak/>
        <w:t>15.</w:t>
      </w:r>
      <w:r w:rsidR="00E36F7B" w:rsidRPr="0038407B">
        <w:rPr>
          <w:rFonts w:ascii="Times New Roman" w:eastAsia="Calibri" w:hAnsi="Times New Roman" w:cs="Times New Roman"/>
          <w:lang w:val="en-US" w:eastAsia="uk-UA"/>
        </w:rPr>
        <w:t>0</w:t>
      </w:r>
      <w:r w:rsidRPr="0038407B">
        <w:rPr>
          <w:rFonts w:ascii="Times New Roman" w:eastAsia="Calibri" w:hAnsi="Times New Roman" w:cs="Times New Roman"/>
          <w:lang w:val="en-US" w:eastAsia="uk-UA"/>
        </w:rPr>
        <w:t>0</w:t>
      </w:r>
      <w:proofErr w:type="gramEnd"/>
      <w:r w:rsidR="00C61C7F">
        <w:rPr>
          <w:rFonts w:ascii="Times New Roman" w:eastAsia="Calibri" w:hAnsi="Times New Roman" w:cs="Times New Roman"/>
          <w:lang w:val="en-US" w:eastAsia="uk-UA"/>
        </w:rPr>
        <w:t xml:space="preserve"> –</w:t>
      </w:r>
      <w:r w:rsidRPr="0038407B">
        <w:rPr>
          <w:rFonts w:ascii="Times New Roman" w:eastAsia="Calibri" w:hAnsi="Times New Roman" w:cs="Times New Roman"/>
          <w:lang w:val="en-US" w:eastAsia="uk-UA"/>
        </w:rPr>
        <w:t xml:space="preserve"> 15.</w:t>
      </w:r>
      <w:r w:rsidR="00E36F7B" w:rsidRPr="0038407B">
        <w:rPr>
          <w:rFonts w:ascii="Times New Roman" w:eastAsia="Calibri" w:hAnsi="Times New Roman" w:cs="Times New Roman"/>
          <w:lang w:val="en-US" w:eastAsia="uk-UA"/>
        </w:rPr>
        <w:t>15</w:t>
      </w:r>
      <w:r w:rsidRPr="0038407B">
        <w:rPr>
          <w:rFonts w:ascii="Times New Roman" w:eastAsia="Calibri" w:hAnsi="Times New Roman" w:cs="Times New Roman"/>
          <w:lang w:val="en-US" w:eastAsia="uk-UA"/>
        </w:rPr>
        <w:tab/>
      </w:r>
      <w:r w:rsidR="0000063F">
        <w:rPr>
          <w:rFonts w:ascii="Times New Roman" w:eastAsia="Calibri" w:hAnsi="Times New Roman" w:cs="Times New Roman"/>
          <w:lang w:val="en-US" w:eastAsia="uk-UA"/>
        </w:rPr>
        <w:t xml:space="preserve">Local </w:t>
      </w:r>
      <w:r w:rsidR="0000063F" w:rsidRPr="0000063F">
        <w:rPr>
          <w:rFonts w:ascii="Times New Roman" w:eastAsia="Calibri" w:hAnsi="Times New Roman" w:cs="Times New Roman"/>
          <w:lang w:val="en-US" w:eastAsia="uk-UA"/>
        </w:rPr>
        <w:t xml:space="preserve">practice </w:t>
      </w:r>
      <w:r w:rsidR="0000063F" w:rsidRPr="0000063F">
        <w:rPr>
          <w:rFonts w:ascii="Times New Roman" w:eastAsia="Calibri" w:hAnsi="Times New Roman" w:cs="Times New Roman"/>
          <w:lang w:val="en-US" w:eastAsia="uk-UA"/>
        </w:rPr>
        <w:t>i</w:t>
      </w:r>
      <w:r w:rsidR="0000063F" w:rsidRPr="0000063F">
        <w:rPr>
          <w:rFonts w:ascii="Times New Roman" w:eastAsia="Calibri" w:hAnsi="Times New Roman" w:cs="Times New Roman"/>
          <w:lang w:val="en-US" w:eastAsia="uk-UA"/>
        </w:rPr>
        <w:t xml:space="preserve">n </w:t>
      </w:r>
      <w:r w:rsidR="0000063F" w:rsidRPr="0000063F">
        <w:rPr>
          <w:rFonts w:ascii="Times New Roman" w:eastAsia="Calibri" w:hAnsi="Times New Roman" w:cs="Times New Roman"/>
          <w:lang w:val="en-US" w:eastAsia="uk-UA"/>
        </w:rPr>
        <w:t xml:space="preserve">RISE </w:t>
      </w:r>
      <w:r w:rsidR="0000063F" w:rsidRPr="0000063F">
        <w:rPr>
          <w:rFonts w:ascii="Times New Roman" w:eastAsia="Calibri" w:hAnsi="Times New Roman" w:cs="Times New Roman"/>
          <w:lang w:val="en-US" w:eastAsia="uk-UA"/>
        </w:rPr>
        <w:t>proposal</w:t>
      </w:r>
      <w:r w:rsidR="0000063F" w:rsidRPr="0000063F">
        <w:rPr>
          <w:rFonts w:ascii="Times New Roman" w:eastAsia="Calibri" w:hAnsi="Times New Roman" w:cs="Times New Roman"/>
          <w:lang w:val="en-US" w:eastAsia="uk-UA"/>
        </w:rPr>
        <w:t>s</w:t>
      </w:r>
      <w:r w:rsidR="0000063F" w:rsidRPr="0000063F">
        <w:rPr>
          <w:rFonts w:ascii="Times New Roman" w:eastAsia="Calibri" w:hAnsi="Times New Roman" w:cs="Times New Roman"/>
          <w:lang w:val="en-US" w:eastAsia="uk-UA"/>
        </w:rPr>
        <w:t xml:space="preserve"> development</w:t>
      </w:r>
    </w:p>
    <w:p w14:paraId="45C931EC" w14:textId="5E5695C8" w:rsidR="0008736D" w:rsidRPr="0008736D" w:rsidRDefault="0000063F" w:rsidP="0008736D">
      <w:pPr>
        <w:ind w:left="2127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  <w:r>
        <w:rPr>
          <w:rFonts w:ascii="Times New Roman" w:eastAsia="Calibri" w:hAnsi="Times New Roman" w:cs="Times New Roman"/>
          <w:lang w:val="en-US" w:eastAsia="uk-UA"/>
        </w:rPr>
        <w:t xml:space="preserve">Dr. Polina KUZHIR, Head, Laboratory of </w:t>
      </w:r>
      <w:proofErr w:type="spellStart"/>
      <w:r>
        <w:rPr>
          <w:rFonts w:ascii="Times New Roman" w:eastAsia="Calibri" w:hAnsi="Times New Roman" w:cs="Times New Roman"/>
          <w:lang w:val="en-US" w:eastAsia="uk-UA"/>
        </w:rPr>
        <w:t>Nanoelectromagnetics</w:t>
      </w:r>
      <w:proofErr w:type="spellEnd"/>
      <w:r>
        <w:rPr>
          <w:rFonts w:ascii="Times New Roman" w:eastAsia="Calibri" w:hAnsi="Times New Roman" w:cs="Times New Roman"/>
          <w:lang w:val="en-US" w:eastAsia="uk-UA"/>
        </w:rPr>
        <w:t>, Institute of Nuclear problems, Belarusian State University</w:t>
      </w:r>
      <w:r w:rsidR="0008736D">
        <w:rPr>
          <w:rFonts w:ascii="Times New Roman" w:eastAsia="Calibri" w:hAnsi="Times New Roman" w:cs="Times New Roman"/>
          <w:lang w:val="en-US" w:eastAsia="uk-UA"/>
        </w:rPr>
        <w:t xml:space="preserve">, Belarusian team leader in </w:t>
      </w:r>
      <w:proofErr w:type="spellStart"/>
      <w:r w:rsidR="0008736D" w:rsidRPr="0008736D">
        <w:rPr>
          <w:rFonts w:ascii="Times New Roman" w:eastAsia="Times New Roman" w:hAnsi="Times New Roman" w:cs="Times New Roman"/>
          <w:color w:val="000000"/>
          <w:lang w:val="en-US" w:eastAsia="ru-RU"/>
        </w:rPr>
        <w:t>CoExAN</w:t>
      </w:r>
      <w:proofErr w:type="spellEnd"/>
      <w:r w:rsidR="0008736D" w:rsidRPr="0008736D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and </w:t>
      </w:r>
      <w:proofErr w:type="spellStart"/>
      <w:r w:rsidR="0008736D" w:rsidRPr="0008736D">
        <w:rPr>
          <w:rFonts w:ascii="Times New Roman" w:eastAsia="Times New Roman" w:hAnsi="Times New Roman" w:cs="Times New Roman"/>
          <w:bCs/>
          <w:lang w:val="en-US" w:eastAsia="ru-RU"/>
        </w:rPr>
        <w:t>Graphene</w:t>
      </w:r>
      <w:proofErr w:type="spellEnd"/>
      <w:r w:rsidR="0008736D" w:rsidRPr="0008736D">
        <w:rPr>
          <w:rFonts w:ascii="Times New Roman" w:eastAsia="Times New Roman" w:hAnsi="Times New Roman" w:cs="Times New Roman"/>
          <w:bCs/>
          <w:lang w:val="en-US" w:eastAsia="ru-RU"/>
        </w:rPr>
        <w:t xml:space="preserve"> 3D</w:t>
      </w:r>
      <w:r w:rsidR="0008736D">
        <w:rPr>
          <w:rFonts w:ascii="Times New Roman" w:eastAsia="Times New Roman" w:hAnsi="Times New Roman" w:cs="Times New Roman"/>
          <w:bCs/>
          <w:lang w:val="en-US" w:eastAsia="ru-RU"/>
        </w:rPr>
        <w:t xml:space="preserve"> RISE projects</w:t>
      </w:r>
    </w:p>
    <w:p w14:paraId="5F752A4B" w14:textId="373ABE22" w:rsidR="00E36F7B" w:rsidRPr="0038407B" w:rsidRDefault="00E36F7B" w:rsidP="0008736D">
      <w:pPr>
        <w:widowControl w:val="0"/>
        <w:spacing w:before="120" w:after="120" w:line="264" w:lineRule="auto"/>
        <w:ind w:left="2124" w:hanging="2266"/>
        <w:jc w:val="both"/>
        <w:rPr>
          <w:rFonts w:ascii="Times New Roman" w:eastAsia="Calibri" w:hAnsi="Times New Roman" w:cs="Times New Roman"/>
          <w:lang w:val="en-US" w:eastAsia="uk-UA"/>
        </w:rPr>
      </w:pPr>
      <w:r w:rsidRPr="0038407B">
        <w:rPr>
          <w:rFonts w:ascii="Times New Roman" w:eastAsia="Calibri" w:hAnsi="Times New Roman" w:cs="Times New Roman"/>
          <w:i/>
          <w:color w:val="C00000"/>
          <w:lang w:val="en-US" w:eastAsia="uk-UA"/>
        </w:rPr>
        <w:t xml:space="preserve"> </w:t>
      </w:r>
      <w:r w:rsidR="0008736D">
        <w:rPr>
          <w:rFonts w:ascii="Times New Roman" w:eastAsia="Calibri" w:hAnsi="Times New Roman" w:cs="Times New Roman"/>
          <w:i/>
          <w:color w:val="C00000"/>
          <w:lang w:val="en-US" w:eastAsia="uk-UA"/>
        </w:rPr>
        <w:t xml:space="preserve"> </w:t>
      </w:r>
      <w:proofErr w:type="gramStart"/>
      <w:r w:rsidRPr="0038407B">
        <w:rPr>
          <w:rFonts w:ascii="Times New Roman" w:eastAsia="Calibri" w:hAnsi="Times New Roman" w:cs="Times New Roman"/>
          <w:lang w:val="en-US" w:eastAsia="uk-UA"/>
        </w:rPr>
        <w:t>15</w:t>
      </w:r>
      <w:r w:rsidR="00C61C7F">
        <w:rPr>
          <w:rFonts w:ascii="Times New Roman" w:eastAsia="Calibri" w:hAnsi="Times New Roman" w:cs="Times New Roman"/>
          <w:lang w:val="en-US" w:eastAsia="uk-UA"/>
        </w:rPr>
        <w:t>.</w:t>
      </w:r>
      <w:r w:rsidRPr="0038407B">
        <w:rPr>
          <w:rFonts w:ascii="Times New Roman" w:eastAsia="Calibri" w:hAnsi="Times New Roman" w:cs="Times New Roman"/>
          <w:lang w:val="en-US" w:eastAsia="uk-UA"/>
        </w:rPr>
        <w:t>15</w:t>
      </w:r>
      <w:proofErr w:type="gramEnd"/>
      <w:r w:rsidRPr="0038407B">
        <w:rPr>
          <w:rFonts w:ascii="Times New Roman" w:eastAsia="Calibri" w:hAnsi="Times New Roman" w:cs="Times New Roman"/>
          <w:lang w:val="en-US" w:eastAsia="uk-UA"/>
        </w:rPr>
        <w:t xml:space="preserve"> – 15.30 </w:t>
      </w:r>
      <w:r w:rsidRPr="0038407B">
        <w:rPr>
          <w:rFonts w:ascii="Times New Roman" w:eastAsia="Calibri" w:hAnsi="Times New Roman" w:cs="Times New Roman"/>
          <w:lang w:val="en-US" w:eastAsia="uk-UA"/>
        </w:rPr>
        <w:tab/>
        <w:t>Q&amp;A session</w:t>
      </w:r>
    </w:p>
    <w:p w14:paraId="1595E244" w14:textId="51E04FD9" w:rsidR="00E36F7B" w:rsidRPr="0038407B" w:rsidRDefault="00E36F7B" w:rsidP="0038407B">
      <w:pPr>
        <w:widowControl w:val="0"/>
        <w:spacing w:before="120" w:after="120" w:line="264" w:lineRule="auto"/>
        <w:ind w:left="2124" w:hanging="2124"/>
        <w:jc w:val="both"/>
        <w:rPr>
          <w:rFonts w:ascii="Times New Roman" w:eastAsia="Calibri" w:hAnsi="Times New Roman" w:cs="Times New Roman"/>
          <w:lang w:val="en-US" w:eastAsia="uk-UA"/>
        </w:rPr>
      </w:pPr>
      <w:proofErr w:type="gramStart"/>
      <w:r w:rsidRPr="0038407B">
        <w:rPr>
          <w:rFonts w:ascii="Times New Roman" w:eastAsia="Calibri" w:hAnsi="Times New Roman" w:cs="Times New Roman"/>
          <w:lang w:val="en-US" w:eastAsia="uk-UA"/>
        </w:rPr>
        <w:t>15.30</w:t>
      </w:r>
      <w:proofErr w:type="gramEnd"/>
      <w:r w:rsidR="00C61C7F">
        <w:rPr>
          <w:rFonts w:ascii="Times New Roman" w:eastAsia="Calibri" w:hAnsi="Times New Roman" w:cs="Times New Roman"/>
          <w:lang w:val="en-US" w:eastAsia="uk-UA"/>
        </w:rPr>
        <w:t xml:space="preserve"> –</w:t>
      </w:r>
      <w:r w:rsidRPr="0038407B">
        <w:rPr>
          <w:rFonts w:ascii="Times New Roman" w:eastAsia="Calibri" w:hAnsi="Times New Roman" w:cs="Times New Roman"/>
          <w:lang w:val="en-US" w:eastAsia="uk-UA"/>
        </w:rPr>
        <w:t xml:space="preserve"> 15.45</w:t>
      </w:r>
      <w:r w:rsidRPr="0038407B">
        <w:rPr>
          <w:rFonts w:ascii="Times New Roman" w:eastAsia="Calibri" w:hAnsi="Times New Roman" w:cs="Times New Roman"/>
          <w:lang w:val="en-US" w:eastAsia="uk-UA"/>
        </w:rPr>
        <w:tab/>
        <w:t>Coffee break</w:t>
      </w:r>
      <w:r w:rsidRPr="0038407B">
        <w:rPr>
          <w:rFonts w:ascii="Times New Roman" w:eastAsia="Calibri" w:hAnsi="Times New Roman" w:cs="Times New Roman"/>
          <w:lang w:val="en-US" w:eastAsia="uk-UA"/>
        </w:rPr>
        <w:tab/>
      </w:r>
    </w:p>
    <w:p w14:paraId="593B29EF" w14:textId="0F2CEE65" w:rsidR="00E36F7B" w:rsidRPr="0038407B" w:rsidRDefault="00E36F7B" w:rsidP="0038407B">
      <w:pPr>
        <w:widowControl w:val="0"/>
        <w:spacing w:before="120" w:after="120" w:line="264" w:lineRule="auto"/>
        <w:ind w:left="2124" w:hanging="2124"/>
        <w:jc w:val="both"/>
        <w:rPr>
          <w:rFonts w:ascii="Times New Roman" w:eastAsia="Calibri" w:hAnsi="Times New Roman" w:cs="Times New Roman"/>
          <w:lang w:val="en-US" w:eastAsia="uk-UA"/>
        </w:rPr>
      </w:pPr>
      <w:r w:rsidRPr="0038407B">
        <w:rPr>
          <w:rFonts w:ascii="Times New Roman" w:eastAsia="Calibri" w:hAnsi="Times New Roman" w:cs="Times New Roman"/>
          <w:lang w:val="en-US" w:eastAsia="uk-UA"/>
        </w:rPr>
        <w:t>15.45 – 17.00</w:t>
      </w:r>
      <w:r w:rsidRPr="0038407B">
        <w:rPr>
          <w:rFonts w:ascii="Times New Roman" w:eastAsia="Calibri" w:hAnsi="Times New Roman" w:cs="Times New Roman"/>
          <w:lang w:val="en-US" w:eastAsia="uk-UA"/>
        </w:rPr>
        <w:tab/>
        <w:t>Part B1: how to fill in contents for sections 1-3 and section 4. Some suggestions and practical tips.</w:t>
      </w:r>
    </w:p>
    <w:p w14:paraId="2D01AF28" w14:textId="60195D97" w:rsidR="00000B57" w:rsidRPr="00DF3056" w:rsidRDefault="00E36F7B" w:rsidP="0038407B">
      <w:pPr>
        <w:widowControl w:val="0"/>
        <w:spacing w:before="120" w:after="120" w:line="264" w:lineRule="auto"/>
        <w:ind w:left="2124"/>
        <w:jc w:val="both"/>
        <w:rPr>
          <w:rFonts w:ascii="Times New Roman" w:eastAsia="Calibri" w:hAnsi="Times New Roman" w:cs="Times New Roman"/>
          <w:lang w:val="en-US" w:eastAsia="uk-UA"/>
        </w:rPr>
      </w:pPr>
      <w:r w:rsidRPr="00DF3056">
        <w:rPr>
          <w:rFonts w:ascii="Times New Roman" w:eastAsia="Calibri" w:hAnsi="Times New Roman" w:cs="Times New Roman"/>
          <w:lang w:val="en-US" w:eastAsia="uk-UA"/>
        </w:rPr>
        <w:t xml:space="preserve">Katia </w:t>
      </w:r>
      <w:r w:rsidR="00C61C7F" w:rsidRPr="00DF3056">
        <w:rPr>
          <w:rFonts w:ascii="Times New Roman" w:eastAsia="Calibri" w:hAnsi="Times New Roman" w:cs="Times New Roman"/>
          <w:lang w:val="en-US" w:eastAsia="uk-UA"/>
        </w:rPr>
        <w:t>INSOGNA</w:t>
      </w:r>
    </w:p>
    <w:p w14:paraId="649EADE0" w14:textId="558396D7" w:rsidR="00C61C7F" w:rsidRPr="00C61C7F" w:rsidRDefault="00C61C7F" w:rsidP="00C61C7F">
      <w:pPr>
        <w:widowControl w:val="0"/>
        <w:spacing w:before="120" w:after="120" w:line="264" w:lineRule="auto"/>
        <w:ind w:left="2124" w:hanging="2124"/>
        <w:jc w:val="both"/>
        <w:rPr>
          <w:rFonts w:ascii="Times New Roman" w:eastAsia="Calibri" w:hAnsi="Times New Roman" w:cs="Times New Roman"/>
          <w:lang w:val="en-US" w:eastAsia="uk-UA"/>
        </w:rPr>
      </w:pPr>
      <w:r w:rsidRPr="00C61C7F">
        <w:rPr>
          <w:rFonts w:ascii="Times New Roman" w:eastAsia="Calibri" w:hAnsi="Times New Roman" w:cs="Times New Roman"/>
          <w:lang w:val="en-US" w:eastAsia="uk-UA"/>
        </w:rPr>
        <w:t>17.00</w:t>
      </w:r>
      <w:r w:rsidRPr="00C61C7F">
        <w:rPr>
          <w:rFonts w:ascii="Times New Roman" w:eastAsia="Calibri" w:hAnsi="Times New Roman" w:cs="Times New Roman"/>
          <w:lang w:val="en-US" w:eastAsia="uk-UA"/>
        </w:rPr>
        <w:tab/>
      </w:r>
      <w:bookmarkStart w:id="0" w:name="_GoBack"/>
      <w:bookmarkEnd w:id="0"/>
      <w:r w:rsidRPr="00C61C7F">
        <w:rPr>
          <w:rFonts w:ascii="Times New Roman" w:eastAsia="Calibri" w:hAnsi="Times New Roman" w:cs="Times New Roman"/>
          <w:lang w:val="en-US" w:eastAsia="uk-UA"/>
        </w:rPr>
        <w:t>Wrap-up and closure</w:t>
      </w:r>
    </w:p>
    <w:sectPr w:rsidR="00C61C7F" w:rsidRPr="00C61C7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732F8" w14:textId="77777777" w:rsidR="00687492" w:rsidRDefault="00687492" w:rsidP="00E21ED2">
      <w:pPr>
        <w:spacing w:after="0" w:line="240" w:lineRule="auto"/>
      </w:pPr>
      <w:r>
        <w:separator/>
      </w:r>
    </w:p>
  </w:endnote>
  <w:endnote w:type="continuationSeparator" w:id="0">
    <w:p w14:paraId="05B700DC" w14:textId="77777777" w:rsidR="00687492" w:rsidRDefault="00687492" w:rsidP="00E2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51154" w14:textId="77777777" w:rsidR="00E21ED2" w:rsidRDefault="00E21ED2" w:rsidP="00437627">
    <w:pPr>
      <w:pStyle w:val="a7"/>
      <w:jc w:val="center"/>
    </w:pPr>
    <w:r w:rsidRPr="00437627">
      <w:rPr>
        <w:rFonts w:ascii="Times New Roman" w:hAnsi="Times New Roman" w:cs="Times New Roman"/>
        <w:noProof/>
        <w:lang w:eastAsia="ru-RU"/>
      </w:rPr>
      <w:drawing>
        <wp:inline distT="0" distB="0" distL="0" distR="0" wp14:anchorId="68BA6C74" wp14:editId="313F90C3">
          <wp:extent cx="5133975" cy="876300"/>
          <wp:effectExtent l="0" t="0" r="952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A2A09" w14:textId="77777777" w:rsidR="00687492" w:rsidRDefault="00687492" w:rsidP="00E21ED2">
      <w:pPr>
        <w:spacing w:after="0" w:line="240" w:lineRule="auto"/>
      </w:pPr>
      <w:r>
        <w:separator/>
      </w:r>
    </w:p>
  </w:footnote>
  <w:footnote w:type="continuationSeparator" w:id="0">
    <w:p w14:paraId="2E92279E" w14:textId="77777777" w:rsidR="00687492" w:rsidRDefault="00687492" w:rsidP="00E21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7F6"/>
    <w:multiLevelType w:val="hybridMultilevel"/>
    <w:tmpl w:val="482C3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0C69"/>
    <w:multiLevelType w:val="hybridMultilevel"/>
    <w:tmpl w:val="9258B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F7F69"/>
    <w:multiLevelType w:val="hybridMultilevel"/>
    <w:tmpl w:val="65061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751A6"/>
    <w:multiLevelType w:val="hybridMultilevel"/>
    <w:tmpl w:val="44D655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E47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56D3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422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5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605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EE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040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1A1E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B6D8F"/>
    <w:multiLevelType w:val="hybridMultilevel"/>
    <w:tmpl w:val="E2882C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966B2"/>
    <w:multiLevelType w:val="hybridMultilevel"/>
    <w:tmpl w:val="13AC0E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E3E57"/>
    <w:multiLevelType w:val="hybridMultilevel"/>
    <w:tmpl w:val="AF2E0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E24BE"/>
    <w:multiLevelType w:val="multilevel"/>
    <w:tmpl w:val="93C0CFBC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8">
    <w:nsid w:val="3F0036F7"/>
    <w:multiLevelType w:val="hybridMultilevel"/>
    <w:tmpl w:val="E436A5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1309D"/>
    <w:multiLevelType w:val="hybridMultilevel"/>
    <w:tmpl w:val="C9E29106"/>
    <w:lvl w:ilvl="0" w:tplc="51D251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1C9C"/>
    <w:multiLevelType w:val="hybridMultilevel"/>
    <w:tmpl w:val="60E223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D5F1A"/>
    <w:multiLevelType w:val="hybridMultilevel"/>
    <w:tmpl w:val="6304E8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85C87"/>
    <w:multiLevelType w:val="hybridMultilevel"/>
    <w:tmpl w:val="F91C29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D15B0"/>
    <w:multiLevelType w:val="hybridMultilevel"/>
    <w:tmpl w:val="7B96943A"/>
    <w:lvl w:ilvl="0" w:tplc="21565D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E47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56D3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422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5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605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EE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040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1A1E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60985"/>
    <w:multiLevelType w:val="hybridMultilevel"/>
    <w:tmpl w:val="B0183C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E5D40"/>
    <w:multiLevelType w:val="multilevel"/>
    <w:tmpl w:val="506CB78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14"/>
  </w:num>
  <w:num w:numId="10">
    <w:abstractNumId w:val="6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6E"/>
    <w:rsid w:val="0000063F"/>
    <w:rsid w:val="00000B57"/>
    <w:rsid w:val="00004FF0"/>
    <w:rsid w:val="000111A2"/>
    <w:rsid w:val="00015049"/>
    <w:rsid w:val="00022B57"/>
    <w:rsid w:val="0008736D"/>
    <w:rsid w:val="000D3F1E"/>
    <w:rsid w:val="00142539"/>
    <w:rsid w:val="00166EC7"/>
    <w:rsid w:val="001A59FE"/>
    <w:rsid w:val="00215B7E"/>
    <w:rsid w:val="002A7BAF"/>
    <w:rsid w:val="002C77B6"/>
    <w:rsid w:val="002D3CEE"/>
    <w:rsid w:val="00323D65"/>
    <w:rsid w:val="003454D0"/>
    <w:rsid w:val="0038126E"/>
    <w:rsid w:val="0038407B"/>
    <w:rsid w:val="003B2A6B"/>
    <w:rsid w:val="00407E37"/>
    <w:rsid w:val="004104A4"/>
    <w:rsid w:val="00437627"/>
    <w:rsid w:val="00477509"/>
    <w:rsid w:val="004854CA"/>
    <w:rsid w:val="00487F1A"/>
    <w:rsid w:val="00497B18"/>
    <w:rsid w:val="004C4F7D"/>
    <w:rsid w:val="00507E05"/>
    <w:rsid w:val="00514390"/>
    <w:rsid w:val="00543093"/>
    <w:rsid w:val="00557E22"/>
    <w:rsid w:val="005F04F0"/>
    <w:rsid w:val="00603C07"/>
    <w:rsid w:val="00687492"/>
    <w:rsid w:val="00707ECE"/>
    <w:rsid w:val="00724B66"/>
    <w:rsid w:val="00767F80"/>
    <w:rsid w:val="00793051"/>
    <w:rsid w:val="007A29AD"/>
    <w:rsid w:val="008118B1"/>
    <w:rsid w:val="00837A70"/>
    <w:rsid w:val="0084643D"/>
    <w:rsid w:val="00890F85"/>
    <w:rsid w:val="008C6761"/>
    <w:rsid w:val="008D0A10"/>
    <w:rsid w:val="008F2066"/>
    <w:rsid w:val="0090519F"/>
    <w:rsid w:val="00930B18"/>
    <w:rsid w:val="00941A72"/>
    <w:rsid w:val="00991D41"/>
    <w:rsid w:val="00994934"/>
    <w:rsid w:val="009C0013"/>
    <w:rsid w:val="009C3377"/>
    <w:rsid w:val="009D5B04"/>
    <w:rsid w:val="009E7F36"/>
    <w:rsid w:val="009F4BBF"/>
    <w:rsid w:val="00A128C8"/>
    <w:rsid w:val="00A13904"/>
    <w:rsid w:val="00A23606"/>
    <w:rsid w:val="00B3076B"/>
    <w:rsid w:val="00B452D1"/>
    <w:rsid w:val="00B5660C"/>
    <w:rsid w:val="00B765CD"/>
    <w:rsid w:val="00BA757D"/>
    <w:rsid w:val="00C436F5"/>
    <w:rsid w:val="00C61C7F"/>
    <w:rsid w:val="00C71B56"/>
    <w:rsid w:val="00C8639F"/>
    <w:rsid w:val="00D14A83"/>
    <w:rsid w:val="00D368DF"/>
    <w:rsid w:val="00D62627"/>
    <w:rsid w:val="00D654CE"/>
    <w:rsid w:val="00D721D8"/>
    <w:rsid w:val="00D85E6D"/>
    <w:rsid w:val="00DA4522"/>
    <w:rsid w:val="00DF3056"/>
    <w:rsid w:val="00E21ED2"/>
    <w:rsid w:val="00E3135D"/>
    <w:rsid w:val="00E36F7B"/>
    <w:rsid w:val="00E878F7"/>
    <w:rsid w:val="00E922A1"/>
    <w:rsid w:val="00ED43A1"/>
    <w:rsid w:val="00EE27B1"/>
    <w:rsid w:val="00EF2C3D"/>
    <w:rsid w:val="00F3561E"/>
    <w:rsid w:val="00F45655"/>
    <w:rsid w:val="00F56CE0"/>
    <w:rsid w:val="00F97246"/>
    <w:rsid w:val="00FA1394"/>
    <w:rsid w:val="00FB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D7ECA"/>
  <w15:docId w15:val="{FBF79E58-8F10-4E90-B3F8-9737D1A2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126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1ED2"/>
  </w:style>
  <w:style w:type="paragraph" w:styleId="a7">
    <w:name w:val="footer"/>
    <w:basedOn w:val="a"/>
    <w:link w:val="a8"/>
    <w:uiPriority w:val="99"/>
    <w:unhideWhenUsed/>
    <w:rsid w:val="00E2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1ED2"/>
  </w:style>
  <w:style w:type="paragraph" w:styleId="a9">
    <w:name w:val="List Paragraph"/>
    <w:basedOn w:val="a"/>
    <w:uiPriority w:val="34"/>
    <w:qFormat/>
    <w:rsid w:val="00543093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D626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262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26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262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26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6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626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75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Обычный1"/>
    <w:basedOn w:val="a"/>
    <w:rsid w:val="00BA757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F456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8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44227-2E96-470F-8B39-4E19FD2F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Meerovskaya Olga</dc:creator>
  <cp:lastModifiedBy>Meerovskaya Olga</cp:lastModifiedBy>
  <cp:revision>15</cp:revision>
  <dcterms:created xsi:type="dcterms:W3CDTF">2018-02-08T09:41:00Z</dcterms:created>
  <dcterms:modified xsi:type="dcterms:W3CDTF">2018-02-12T15:19:00Z</dcterms:modified>
</cp:coreProperties>
</file>